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5" w:type="dxa"/>
        <w:tblInd w:w="-34" w:type="dxa"/>
        <w:tblLayout w:type="fixed"/>
        <w:tblLook w:val="0000" w:firstRow="0" w:lastRow="0" w:firstColumn="0" w:lastColumn="0" w:noHBand="0" w:noVBand="0"/>
      </w:tblPr>
      <w:tblGrid>
        <w:gridCol w:w="3582"/>
        <w:gridCol w:w="6203"/>
      </w:tblGrid>
      <w:tr w:rsidR="005B10B6" w:rsidRPr="00CE7738" w:rsidTr="00DE4326">
        <w:tblPrEx>
          <w:tblCellMar>
            <w:top w:w="0" w:type="dxa"/>
            <w:bottom w:w="0" w:type="dxa"/>
          </w:tblCellMar>
        </w:tblPrEx>
        <w:trPr>
          <w:trHeight w:val="1275"/>
        </w:trPr>
        <w:tc>
          <w:tcPr>
            <w:tcW w:w="3582" w:type="dxa"/>
          </w:tcPr>
          <w:p w:rsidR="005B10B6" w:rsidRPr="00CE7738" w:rsidRDefault="005B10B6" w:rsidP="00DE4326">
            <w:pPr>
              <w:jc w:val="center"/>
            </w:pPr>
            <w:r w:rsidRPr="00CE7738">
              <w:t>KIỂM TOÁN NHÀ NƯỚC</w:t>
            </w:r>
          </w:p>
          <w:p w:rsidR="005B10B6" w:rsidRPr="00CE7738" w:rsidRDefault="005B10B6" w:rsidP="00DE4326">
            <w:pPr>
              <w:jc w:val="center"/>
              <w:rPr>
                <w:b w:val="0"/>
              </w:rPr>
            </w:pPr>
            <w:r w:rsidRPr="00CE7738">
              <w:rPr>
                <w:b w:val="0"/>
                <w:noProof/>
              </w:rPr>
              <mc:AlternateContent>
                <mc:Choice Requires="wps">
                  <w:drawing>
                    <wp:anchor distT="0" distB="0" distL="114300" distR="114300" simplePos="0" relativeHeight="251659264" behindDoc="0" locked="0" layoutInCell="1" allowOverlap="1">
                      <wp:simplePos x="0" y="0"/>
                      <wp:positionH relativeFrom="column">
                        <wp:posOffset>421640</wp:posOffset>
                      </wp:positionH>
                      <wp:positionV relativeFrom="paragraph">
                        <wp:posOffset>38735</wp:posOffset>
                      </wp:positionV>
                      <wp:extent cx="1106170" cy="0"/>
                      <wp:effectExtent l="8255" t="10795" r="952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EB86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3.05pt" to="12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o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"/>
                  </w:pict>
                </mc:Fallback>
              </mc:AlternateContent>
            </w:r>
          </w:p>
          <w:p w:rsidR="005B10B6" w:rsidRPr="00CE7738" w:rsidRDefault="005B10B6" w:rsidP="00DE4326">
            <w:pPr>
              <w:jc w:val="center"/>
              <w:rPr>
                <w:b w:val="0"/>
              </w:rPr>
            </w:pPr>
          </w:p>
          <w:p w:rsidR="005B10B6" w:rsidRPr="00CE7738" w:rsidRDefault="005B10B6" w:rsidP="00DE4326">
            <w:pPr>
              <w:jc w:val="center"/>
              <w:rPr>
                <w:b w:val="0"/>
              </w:rPr>
            </w:pPr>
            <w:r w:rsidRPr="00CE7738">
              <w:rPr>
                <w:b w:val="0"/>
              </w:rPr>
              <w:t xml:space="preserve">Số: </w:t>
            </w:r>
            <w:r>
              <w:rPr>
                <w:b w:val="0"/>
              </w:rPr>
              <w:t>04</w:t>
            </w:r>
            <w:r w:rsidRPr="00CE7738">
              <w:rPr>
                <w:b w:val="0"/>
              </w:rPr>
              <w:t>/2020/QĐ-KTNN</w:t>
            </w:r>
          </w:p>
        </w:tc>
        <w:tc>
          <w:tcPr>
            <w:tcW w:w="6203" w:type="dxa"/>
          </w:tcPr>
          <w:p w:rsidR="005B10B6" w:rsidRPr="00CE7738" w:rsidRDefault="005B10B6" w:rsidP="00DE4326">
            <w:pPr>
              <w:jc w:val="center"/>
            </w:pPr>
            <w:r w:rsidRPr="00CE7738">
              <w:t>CỘNG HOÀ XÃ HỘI CHỦ NGHĨA VIỆT NAM</w:t>
            </w:r>
          </w:p>
          <w:p w:rsidR="005B10B6" w:rsidRPr="00CE7738" w:rsidRDefault="005B10B6" w:rsidP="00DE4326">
            <w:pPr>
              <w:jc w:val="center"/>
            </w:pPr>
            <w:r w:rsidRPr="00CE7738">
              <w:rPr>
                <w:noProof/>
              </w:rPr>
              <w:t>Độc</w:t>
            </w:r>
            <w:r w:rsidRPr="00CE7738">
              <w:t xml:space="preserve"> lập - Tự do - Hạnh phúc</w:t>
            </w:r>
          </w:p>
          <w:p w:rsidR="005B10B6" w:rsidRPr="00CE7738" w:rsidRDefault="005B10B6" w:rsidP="00DE4326">
            <w:pPr>
              <w:spacing w:before="240"/>
              <w:jc w:val="center"/>
              <w:rPr>
                <w:b w:val="0"/>
                <w:i/>
              </w:rPr>
            </w:pPr>
            <w:r w:rsidRPr="00CE7738">
              <w:rPr>
                <w:noProof/>
              </w:rPr>
              <mc:AlternateContent>
                <mc:Choice Requires="wps">
                  <w:drawing>
                    <wp:anchor distT="0" distB="0" distL="114300" distR="114300" simplePos="0" relativeHeight="251661312" behindDoc="0" locked="0" layoutInCell="1" allowOverlap="1">
                      <wp:simplePos x="0" y="0"/>
                      <wp:positionH relativeFrom="column">
                        <wp:posOffset>880745</wp:posOffset>
                      </wp:positionH>
                      <wp:positionV relativeFrom="paragraph">
                        <wp:posOffset>33020</wp:posOffset>
                      </wp:positionV>
                      <wp:extent cx="2020570" cy="0"/>
                      <wp:effectExtent l="825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F7A7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2.6pt" to="228.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Ay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ap9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"/>
                  </w:pict>
                </mc:Fallback>
              </mc:AlternateContent>
            </w:r>
            <w:r w:rsidRPr="00CE7738">
              <w:rPr>
                <w:b w:val="0"/>
                <w:i/>
              </w:rPr>
              <w:t>Hà Nội, ngày</w:t>
            </w:r>
            <w:r>
              <w:rPr>
                <w:b w:val="0"/>
                <w:i/>
              </w:rPr>
              <w:t xml:space="preserve"> 14 </w:t>
            </w:r>
            <w:r w:rsidRPr="00CE7738">
              <w:rPr>
                <w:b w:val="0"/>
                <w:i/>
              </w:rPr>
              <w:t>tháng</w:t>
            </w:r>
            <w:r>
              <w:rPr>
                <w:b w:val="0"/>
                <w:i/>
              </w:rPr>
              <w:t xml:space="preserve"> 12 </w:t>
            </w:r>
            <w:r w:rsidRPr="00CE7738">
              <w:rPr>
                <w:b w:val="0"/>
                <w:i/>
              </w:rPr>
              <w:t>năm 2020</w:t>
            </w:r>
          </w:p>
        </w:tc>
      </w:tr>
    </w:tbl>
    <w:p w:rsidR="005B10B6" w:rsidRPr="00CE7738" w:rsidRDefault="005B10B6" w:rsidP="005B10B6">
      <w:pPr>
        <w:tabs>
          <w:tab w:val="center" w:pos="4677"/>
          <w:tab w:val="left" w:pos="6525"/>
        </w:tabs>
        <w:spacing w:before="120" w:line="360" w:lineRule="exact"/>
        <w:jc w:val="center"/>
      </w:pPr>
      <w:r w:rsidRPr="00CE7738">
        <w:t>QUYẾT ĐỊNH</w:t>
      </w:r>
    </w:p>
    <w:p w:rsidR="005B10B6" w:rsidRPr="00CE7738" w:rsidRDefault="005B10B6" w:rsidP="005B10B6">
      <w:pPr>
        <w:tabs>
          <w:tab w:val="center" w:pos="4677"/>
          <w:tab w:val="left" w:pos="6525"/>
        </w:tabs>
        <w:spacing w:before="120" w:line="360" w:lineRule="exact"/>
        <w:ind w:firstLine="720"/>
        <w:jc w:val="center"/>
      </w:pPr>
      <w:r w:rsidRPr="00CE7738">
        <w:t xml:space="preserve">Ban hành Quy định danh mục hồ sơ kiểm toán; chế độ nộp lưu, bảo quản, khai thác và hủy hồ sơ kiểm toán </w:t>
      </w:r>
    </w:p>
    <w:p w:rsidR="005B10B6" w:rsidRPr="00CE7738" w:rsidRDefault="005B10B6" w:rsidP="005B10B6">
      <w:pPr>
        <w:tabs>
          <w:tab w:val="center" w:pos="4677"/>
          <w:tab w:val="left" w:pos="6525"/>
        </w:tabs>
        <w:spacing w:before="120" w:line="360" w:lineRule="exact"/>
        <w:ind w:firstLine="720"/>
        <w:rPr>
          <w:b w:val="0"/>
          <w:i/>
        </w:rPr>
      </w:pPr>
      <w:r w:rsidRPr="00CE7738">
        <w:rPr>
          <w:noProof/>
          <w:sz w:val="26"/>
        </w:rPr>
        <mc:AlternateContent>
          <mc:Choice Requires="wps">
            <w:drawing>
              <wp:anchor distT="0" distB="0" distL="114300" distR="114300" simplePos="0" relativeHeight="251660288" behindDoc="0" locked="0" layoutInCell="1" allowOverlap="1">
                <wp:simplePos x="0" y="0"/>
                <wp:positionH relativeFrom="column">
                  <wp:posOffset>2202180</wp:posOffset>
                </wp:positionH>
                <wp:positionV relativeFrom="paragraph">
                  <wp:posOffset>8890</wp:posOffset>
                </wp:positionV>
                <wp:extent cx="1523365" cy="0"/>
                <wp:effectExtent l="1016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3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D92A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7pt" to="293.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7bJQ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"/>
            </w:pict>
          </mc:Fallback>
        </mc:AlternateContent>
      </w:r>
    </w:p>
    <w:p w:rsidR="005B10B6" w:rsidRPr="00CE7738" w:rsidRDefault="005B10B6" w:rsidP="005B10B6">
      <w:pPr>
        <w:tabs>
          <w:tab w:val="center" w:pos="4677"/>
          <w:tab w:val="left" w:pos="6525"/>
        </w:tabs>
        <w:spacing w:line="312" w:lineRule="auto"/>
        <w:ind w:firstLine="720"/>
        <w:rPr>
          <w:b w:val="0"/>
          <w:i/>
        </w:rPr>
      </w:pPr>
      <w:r w:rsidRPr="00CE7738">
        <w:rPr>
          <w:b w:val="0"/>
          <w:i/>
        </w:rPr>
        <w:t>Căn cứ Luật Kiểm toán nhà nước ngày 24/6/2015 và Luật sửa đổi, bổ sung một số điều của Luật Kiểm toán nhà nước ngày 26/11/2019;</w:t>
      </w:r>
      <w:r w:rsidRPr="00CE7738">
        <w:rPr>
          <w:b w:val="0"/>
          <w:i/>
        </w:rPr>
        <w:tab/>
      </w:r>
    </w:p>
    <w:p w:rsidR="005B10B6" w:rsidRPr="00CE7738" w:rsidRDefault="005B10B6" w:rsidP="005B10B6">
      <w:pPr>
        <w:spacing w:line="312" w:lineRule="auto"/>
        <w:jc w:val="both"/>
        <w:rPr>
          <w:b w:val="0"/>
          <w:i/>
        </w:rPr>
      </w:pPr>
      <w:r w:rsidRPr="00CE7738">
        <w:rPr>
          <w:b w:val="0"/>
          <w:i/>
        </w:rPr>
        <w:tab/>
        <w:t>Căn cứ Luật Ban hành văn bản quy phạm pháp luật ngày 22/6/2015 và Luật sửa đổi, bổ sung một số điều của Luật Ban hành văn bản quy phạm pháp luật ngày 18/6/2020;</w:t>
      </w:r>
    </w:p>
    <w:p w:rsidR="005B10B6" w:rsidRPr="00CE7738" w:rsidRDefault="005B10B6" w:rsidP="005B10B6">
      <w:pPr>
        <w:spacing w:line="312" w:lineRule="auto"/>
        <w:jc w:val="both"/>
        <w:rPr>
          <w:b w:val="0"/>
          <w:i/>
          <w:spacing w:val="-4"/>
        </w:rPr>
      </w:pPr>
      <w:r w:rsidRPr="00CE7738">
        <w:rPr>
          <w:b w:val="0"/>
          <w:i/>
        </w:rPr>
        <w:tab/>
        <w:t xml:space="preserve">Theo </w:t>
      </w:r>
      <w:r w:rsidRPr="00CE7738">
        <w:rPr>
          <w:b w:val="0"/>
          <w:i/>
          <w:spacing w:val="-4"/>
        </w:rPr>
        <w:t>đề nghị của Vụ trưởng Vụ Chế độ và Kiểm soát chất lượng kiểm toán và Vụ trưởng Vụ Pháp chế;</w:t>
      </w:r>
    </w:p>
    <w:p w:rsidR="005B10B6" w:rsidRPr="00CE7738" w:rsidRDefault="005B10B6" w:rsidP="005B10B6">
      <w:pPr>
        <w:spacing w:line="312" w:lineRule="auto"/>
        <w:jc w:val="both"/>
        <w:rPr>
          <w:b w:val="0"/>
          <w:i/>
          <w:spacing w:val="-5"/>
        </w:rPr>
      </w:pPr>
      <w:r w:rsidRPr="00CE7738">
        <w:rPr>
          <w:b w:val="0"/>
          <w:i/>
          <w:spacing w:val="-4"/>
        </w:rPr>
        <w:tab/>
      </w:r>
      <w:r w:rsidRPr="00CE7738">
        <w:rPr>
          <w:b w:val="0"/>
          <w:i/>
          <w:spacing w:val="-5"/>
        </w:rPr>
        <w:t>Tổng Kiểm toán nhà nước ban hành Quyết định về việc ban hành Quy định danh mục hồ sơ kiểm toán; chế độ nộp lưu, bảo quản, khai thác và hủy hồ sơ kiểm toán.</w:t>
      </w:r>
      <w:r w:rsidRPr="00CE7738">
        <w:rPr>
          <w:i/>
          <w:spacing w:val="-5"/>
        </w:rPr>
        <w:tab/>
      </w:r>
    </w:p>
    <w:p w:rsidR="005B10B6" w:rsidRPr="00CE7738" w:rsidRDefault="005B10B6" w:rsidP="005B10B6">
      <w:pPr>
        <w:spacing w:before="120" w:line="360" w:lineRule="exact"/>
        <w:jc w:val="both"/>
        <w:rPr>
          <w:b w:val="0"/>
        </w:rPr>
      </w:pPr>
      <w:r w:rsidRPr="00CE7738">
        <w:rPr>
          <w:b w:val="0"/>
        </w:rPr>
        <w:tab/>
      </w:r>
      <w:r w:rsidRPr="00CE7738">
        <w:t>Điều 1.</w:t>
      </w:r>
      <w:r w:rsidRPr="00CE7738">
        <w:rPr>
          <w:b w:val="0"/>
        </w:rPr>
        <w:t xml:space="preserve"> Ban hành kèm theo Quyết định này Quy định danh mục hồ sơ kiểm toán; chế độ nộp lưu, bảo quản, khai thác và hủy hồ sơ kiểm toán.</w:t>
      </w:r>
    </w:p>
    <w:p w:rsidR="005B10B6" w:rsidRPr="00CE7738" w:rsidRDefault="005B10B6" w:rsidP="005B10B6">
      <w:pPr>
        <w:spacing w:before="120" w:line="360" w:lineRule="exact"/>
        <w:jc w:val="both"/>
        <w:rPr>
          <w:b w:val="0"/>
        </w:rPr>
      </w:pPr>
      <w:r w:rsidRPr="00CE7738">
        <w:rPr>
          <w:b w:val="0"/>
        </w:rPr>
        <w:tab/>
      </w:r>
      <w:r w:rsidRPr="00CE7738">
        <w:t>Điều 2.</w:t>
      </w:r>
      <w:r w:rsidRPr="00CE7738">
        <w:rPr>
          <w:b w:val="0"/>
        </w:rPr>
        <w:t xml:space="preserve"> Quyết định này có hiệu lực thi hành sau 45 ngày kể từ ngày ký và thay thế Quyết định số 10/2016/QĐ-KTNN ngày 28/12/2016 của Tổng Kiểm toán nhà nước về việc ban hành Quy định danh mục hồ sơ kiểm toán; chế độ nộp lưu, bảo quản, khai thác và hủy hồ sơ kiểm toán.</w:t>
      </w:r>
    </w:p>
    <w:p w:rsidR="005B10B6" w:rsidRPr="00CE7738" w:rsidRDefault="005B10B6" w:rsidP="005B10B6">
      <w:pPr>
        <w:spacing w:before="120" w:after="120" w:line="360" w:lineRule="exact"/>
        <w:jc w:val="both"/>
        <w:rPr>
          <w:b w:val="0"/>
        </w:rPr>
      </w:pPr>
      <w:r w:rsidRPr="00CE7738">
        <w:rPr>
          <w:b w:val="0"/>
        </w:rPr>
        <w:tab/>
      </w:r>
      <w:r w:rsidRPr="00CE7738">
        <w:t>Điều 3.</w:t>
      </w:r>
      <w:r w:rsidRPr="00CE7738">
        <w:rPr>
          <w:b w:val="0"/>
        </w:rPr>
        <w:t xml:space="preserve"> Thủ trưởng các đơn vị trực thuộc Kiểm toán nhà nước</w:t>
      </w:r>
      <w:r>
        <w:rPr>
          <w:b w:val="0"/>
        </w:rPr>
        <w:t xml:space="preserve">, </w:t>
      </w:r>
      <w:r w:rsidRPr="00CE7738">
        <w:rPr>
          <w:b w:val="0"/>
        </w:rPr>
        <w:t>các Đoàn kiểm toán nhà nước, các thành viên của Đoàn kiểm toán nhà nước và các tổ chức, cá nhân có liên quan chịu trách nhiệm thi hành Quyết định này./.</w:t>
      </w:r>
    </w:p>
    <w:tbl>
      <w:tblPr>
        <w:tblW w:w="9713" w:type="dxa"/>
        <w:tblLook w:val="01E0" w:firstRow="1" w:lastRow="1" w:firstColumn="1" w:lastColumn="1" w:noHBand="0" w:noVBand="0"/>
      </w:tblPr>
      <w:tblGrid>
        <w:gridCol w:w="5070"/>
        <w:gridCol w:w="4643"/>
      </w:tblGrid>
      <w:tr w:rsidR="005B10B6" w:rsidRPr="00CE7738" w:rsidTr="00DE4326">
        <w:trPr>
          <w:trHeight w:val="2475"/>
        </w:trPr>
        <w:tc>
          <w:tcPr>
            <w:tcW w:w="5070" w:type="dxa"/>
          </w:tcPr>
          <w:p w:rsidR="005B10B6" w:rsidRPr="00CE7738" w:rsidRDefault="005B10B6" w:rsidP="00DE4326">
            <w:pPr>
              <w:keepNext/>
              <w:widowControl w:val="0"/>
              <w:tabs>
                <w:tab w:val="left" w:pos="709"/>
              </w:tabs>
              <w:jc w:val="both"/>
              <w:rPr>
                <w:i/>
                <w:spacing w:val="-6"/>
                <w:sz w:val="24"/>
                <w:szCs w:val="24"/>
              </w:rPr>
            </w:pPr>
            <w:r w:rsidRPr="00CE7738">
              <w:rPr>
                <w:b w:val="0"/>
              </w:rPr>
              <w:t xml:space="preserve"> </w:t>
            </w:r>
            <w:r w:rsidRPr="00CE7738">
              <w:rPr>
                <w:i/>
                <w:spacing w:val="-6"/>
                <w:sz w:val="24"/>
                <w:szCs w:val="24"/>
              </w:rPr>
              <w:t>Nơi nhận:</w:t>
            </w:r>
          </w:p>
          <w:p w:rsidR="005B10B6" w:rsidRPr="00CE7738" w:rsidRDefault="005B10B6" w:rsidP="00DE4326">
            <w:pPr>
              <w:tabs>
                <w:tab w:val="left" w:pos="0"/>
              </w:tabs>
              <w:rPr>
                <w:b w:val="0"/>
                <w:sz w:val="22"/>
                <w:lang w:val="it-IT"/>
              </w:rPr>
            </w:pPr>
            <w:r w:rsidRPr="00CE7738">
              <w:rPr>
                <w:b w:val="0"/>
                <w:sz w:val="22"/>
                <w:lang w:val="it-IT"/>
              </w:rPr>
              <w:t>- Ban Bí thư Trung ương Đảng;</w:t>
            </w:r>
          </w:p>
          <w:p w:rsidR="005B10B6" w:rsidRPr="00CE7738" w:rsidRDefault="005B10B6" w:rsidP="00DE4326">
            <w:pPr>
              <w:tabs>
                <w:tab w:val="left" w:pos="0"/>
              </w:tabs>
              <w:rPr>
                <w:b w:val="0"/>
                <w:sz w:val="22"/>
                <w:lang w:val="it-IT"/>
              </w:rPr>
            </w:pPr>
            <w:r w:rsidRPr="00CE7738">
              <w:rPr>
                <w:b w:val="0"/>
                <w:sz w:val="22"/>
                <w:lang w:val="it-IT"/>
              </w:rPr>
              <w:t>- Chủ tịch Quốc hội, các Phó Chủ tịch Quốc hội;</w:t>
            </w:r>
          </w:p>
          <w:p w:rsidR="005B10B6" w:rsidRPr="00CE7738" w:rsidRDefault="005B10B6" w:rsidP="00DE4326">
            <w:pPr>
              <w:tabs>
                <w:tab w:val="left" w:pos="0"/>
              </w:tabs>
              <w:rPr>
                <w:b w:val="0"/>
                <w:sz w:val="22"/>
                <w:lang w:val="it-IT"/>
              </w:rPr>
            </w:pPr>
            <w:r w:rsidRPr="00CE7738">
              <w:rPr>
                <w:b w:val="0"/>
                <w:sz w:val="22"/>
                <w:lang w:val="it-IT"/>
              </w:rPr>
              <w:t>- Thủ tướng, các Phó Thủ tướng Chính phủ;</w:t>
            </w:r>
          </w:p>
          <w:p w:rsidR="005B10B6" w:rsidRPr="00CE7738" w:rsidRDefault="005B10B6" w:rsidP="00DE4326">
            <w:pPr>
              <w:tabs>
                <w:tab w:val="left" w:pos="0"/>
              </w:tabs>
              <w:rPr>
                <w:b w:val="0"/>
                <w:sz w:val="22"/>
                <w:lang w:val="it-IT"/>
              </w:rPr>
            </w:pPr>
            <w:r w:rsidRPr="00CE7738">
              <w:rPr>
                <w:b w:val="0"/>
                <w:sz w:val="22"/>
                <w:lang w:val="it-IT"/>
              </w:rPr>
              <w:t>- Uỷ ban Thường vụ Quốc hội;</w:t>
            </w:r>
          </w:p>
          <w:p w:rsidR="005B10B6" w:rsidRPr="00CE7738" w:rsidRDefault="005B10B6" w:rsidP="00DE4326">
            <w:pPr>
              <w:tabs>
                <w:tab w:val="left" w:pos="0"/>
              </w:tabs>
              <w:rPr>
                <w:b w:val="0"/>
                <w:sz w:val="22"/>
                <w:lang w:val="it-IT"/>
              </w:rPr>
            </w:pPr>
            <w:r w:rsidRPr="00CE7738">
              <w:rPr>
                <w:b w:val="0"/>
                <w:sz w:val="22"/>
                <w:lang w:val="it-IT"/>
              </w:rPr>
              <w:t>- Văn phòng TW và các Ban của Đảng;</w:t>
            </w:r>
          </w:p>
          <w:p w:rsidR="005B10B6" w:rsidRPr="00CE7738" w:rsidRDefault="005B10B6" w:rsidP="00DE4326">
            <w:pPr>
              <w:tabs>
                <w:tab w:val="left" w:pos="0"/>
              </w:tabs>
              <w:rPr>
                <w:b w:val="0"/>
                <w:sz w:val="22"/>
                <w:lang w:val="it-IT"/>
              </w:rPr>
            </w:pPr>
            <w:r w:rsidRPr="00CE7738">
              <w:rPr>
                <w:b w:val="0"/>
                <w:sz w:val="22"/>
                <w:lang w:val="it-IT"/>
              </w:rPr>
              <w:t>- Văn phòng Chính phủ;</w:t>
            </w:r>
          </w:p>
          <w:p w:rsidR="005B10B6" w:rsidRPr="00CE7738" w:rsidRDefault="005B10B6" w:rsidP="00DE4326">
            <w:pPr>
              <w:tabs>
                <w:tab w:val="left" w:pos="0"/>
              </w:tabs>
              <w:rPr>
                <w:b w:val="0"/>
                <w:sz w:val="22"/>
                <w:lang w:val="it-IT"/>
              </w:rPr>
            </w:pPr>
            <w:r w:rsidRPr="00CE7738">
              <w:rPr>
                <w:b w:val="0"/>
                <w:sz w:val="22"/>
                <w:lang w:val="it-IT"/>
              </w:rPr>
              <w:t>- Hội đồng dân tộc và các Ủy ban của Quốc hội;</w:t>
            </w:r>
          </w:p>
          <w:p w:rsidR="005B10B6" w:rsidRPr="00CE7738" w:rsidRDefault="005B10B6" w:rsidP="00DE4326">
            <w:pPr>
              <w:tabs>
                <w:tab w:val="left" w:pos="0"/>
              </w:tabs>
              <w:rPr>
                <w:b w:val="0"/>
                <w:sz w:val="22"/>
                <w:lang w:val="it-IT"/>
              </w:rPr>
            </w:pPr>
            <w:r w:rsidRPr="00CE7738">
              <w:rPr>
                <w:b w:val="0"/>
                <w:sz w:val="22"/>
                <w:lang w:val="it-IT"/>
              </w:rPr>
              <w:t>- Các bộ, cơ quan ngang Bộ, cơ quan thuộc Chính phủ;</w:t>
            </w:r>
          </w:p>
          <w:p w:rsidR="005B10B6" w:rsidRPr="00CE7738" w:rsidRDefault="005B10B6" w:rsidP="00DE4326">
            <w:pPr>
              <w:tabs>
                <w:tab w:val="left" w:pos="0"/>
              </w:tabs>
              <w:rPr>
                <w:b w:val="0"/>
                <w:sz w:val="22"/>
                <w:lang w:val="it-IT"/>
              </w:rPr>
            </w:pPr>
            <w:r w:rsidRPr="00CE7738">
              <w:rPr>
                <w:b w:val="0"/>
                <w:sz w:val="22"/>
                <w:lang w:val="it-IT"/>
              </w:rPr>
              <w:t>- HĐND, UBND các tỉnh, thành phố trực thuộc TW;</w:t>
            </w:r>
          </w:p>
          <w:p w:rsidR="005B10B6" w:rsidRPr="00CE7738" w:rsidRDefault="005B10B6" w:rsidP="00DE4326">
            <w:pPr>
              <w:tabs>
                <w:tab w:val="left" w:pos="0"/>
              </w:tabs>
              <w:rPr>
                <w:b w:val="0"/>
                <w:sz w:val="22"/>
                <w:lang w:val="it-IT"/>
              </w:rPr>
            </w:pPr>
            <w:r w:rsidRPr="00CE7738">
              <w:rPr>
                <w:b w:val="0"/>
                <w:sz w:val="22"/>
                <w:lang w:val="it-IT"/>
              </w:rPr>
              <w:t>- Viện KSND tối cao, Tòa án nhân dân tối cao;</w:t>
            </w:r>
          </w:p>
          <w:p w:rsidR="005B10B6" w:rsidRPr="00CE7738" w:rsidRDefault="005B10B6" w:rsidP="00DE4326">
            <w:pPr>
              <w:tabs>
                <w:tab w:val="left" w:pos="0"/>
              </w:tabs>
              <w:rPr>
                <w:b w:val="0"/>
                <w:sz w:val="22"/>
                <w:lang w:val="it-IT"/>
              </w:rPr>
            </w:pPr>
            <w:r w:rsidRPr="00CE7738">
              <w:rPr>
                <w:b w:val="0"/>
                <w:sz w:val="22"/>
                <w:lang w:val="it-IT"/>
              </w:rPr>
              <w:t>- Bộ Tư pháp (Cục Kiểm tra VBQPPL);</w:t>
            </w:r>
          </w:p>
          <w:p w:rsidR="005B10B6" w:rsidRPr="00CE7738" w:rsidRDefault="005B10B6" w:rsidP="00DE4326">
            <w:pPr>
              <w:tabs>
                <w:tab w:val="left" w:pos="0"/>
              </w:tabs>
              <w:rPr>
                <w:b w:val="0"/>
                <w:sz w:val="22"/>
                <w:lang w:val="it-IT"/>
              </w:rPr>
            </w:pPr>
            <w:r w:rsidRPr="00CE7738">
              <w:rPr>
                <w:b w:val="0"/>
                <w:sz w:val="22"/>
                <w:lang w:val="it-IT"/>
              </w:rPr>
              <w:t>- Công báo;</w:t>
            </w:r>
          </w:p>
          <w:p w:rsidR="005B10B6" w:rsidRPr="00CE7738" w:rsidRDefault="005B10B6" w:rsidP="00DE4326">
            <w:pPr>
              <w:tabs>
                <w:tab w:val="left" w:pos="0"/>
              </w:tabs>
              <w:rPr>
                <w:b w:val="0"/>
                <w:sz w:val="22"/>
                <w:lang w:val="it-IT"/>
              </w:rPr>
            </w:pPr>
            <w:r w:rsidRPr="00CE7738">
              <w:rPr>
                <w:b w:val="0"/>
                <w:sz w:val="22"/>
                <w:lang w:val="it-IT"/>
              </w:rPr>
              <w:t>- Lãnh đạo KTNN; các đơn vị trực thuộc KTNN;</w:t>
            </w:r>
          </w:p>
          <w:p w:rsidR="005B10B6" w:rsidRPr="00CE7738" w:rsidRDefault="005B10B6" w:rsidP="00DE4326">
            <w:pPr>
              <w:keepNext/>
              <w:widowControl w:val="0"/>
              <w:tabs>
                <w:tab w:val="left" w:pos="709"/>
              </w:tabs>
              <w:jc w:val="both"/>
              <w:rPr>
                <w:sz w:val="20"/>
                <w:szCs w:val="20"/>
                <w:lang w:val="vi-VN"/>
              </w:rPr>
            </w:pPr>
            <w:r w:rsidRPr="00CE7738">
              <w:rPr>
                <w:b w:val="0"/>
                <w:sz w:val="22"/>
                <w:lang w:val="it-IT"/>
              </w:rPr>
              <w:t>- Lưu: VT, Vụ Chế độ và KSCL kiểm toán (02).</w:t>
            </w:r>
          </w:p>
          <w:p w:rsidR="005B10B6" w:rsidRPr="00CE7738" w:rsidRDefault="005B10B6" w:rsidP="00DE4326">
            <w:pPr>
              <w:rPr>
                <w:lang w:val="it-IT"/>
              </w:rPr>
            </w:pPr>
          </w:p>
        </w:tc>
        <w:tc>
          <w:tcPr>
            <w:tcW w:w="4643" w:type="dxa"/>
          </w:tcPr>
          <w:p w:rsidR="005B10B6" w:rsidRPr="00CE7738" w:rsidRDefault="005B10B6" w:rsidP="00DE4326">
            <w:pPr>
              <w:jc w:val="center"/>
              <w:rPr>
                <w:lang w:val="it-IT"/>
              </w:rPr>
            </w:pPr>
            <w:r w:rsidRPr="00CE7738">
              <w:rPr>
                <w:lang w:val="it-IT"/>
              </w:rPr>
              <w:t xml:space="preserve"> TỔNG KIỂM TOÁN NHÀ NƯỚC</w:t>
            </w:r>
          </w:p>
          <w:p w:rsidR="005B10B6" w:rsidRPr="00CE7738" w:rsidRDefault="005B10B6" w:rsidP="00DE4326">
            <w:pPr>
              <w:jc w:val="center"/>
              <w:rPr>
                <w:lang w:val="it-IT"/>
              </w:rPr>
            </w:pPr>
          </w:p>
          <w:p w:rsidR="005B10B6" w:rsidRPr="00CE7738" w:rsidRDefault="005B10B6" w:rsidP="00DE4326">
            <w:pPr>
              <w:jc w:val="center"/>
              <w:rPr>
                <w:rFonts w:ascii="Arial" w:hAnsi="Arial" w:cs="Arial"/>
                <w:sz w:val="26"/>
                <w:szCs w:val="26"/>
                <w:lang w:val="it-IT"/>
              </w:rPr>
            </w:pPr>
          </w:p>
          <w:p w:rsidR="005B10B6" w:rsidRPr="00CE7738" w:rsidRDefault="005B10B6" w:rsidP="00DE4326">
            <w:pPr>
              <w:jc w:val="center"/>
              <w:rPr>
                <w:lang w:val="it-IT"/>
              </w:rPr>
            </w:pPr>
          </w:p>
          <w:p w:rsidR="005B10B6" w:rsidRPr="00CD7EC4" w:rsidRDefault="005B10B6" w:rsidP="00DE4326">
            <w:pPr>
              <w:jc w:val="center"/>
              <w:rPr>
                <w:b w:val="0"/>
                <w:i/>
                <w:lang w:val="it-IT"/>
              </w:rPr>
            </w:pPr>
            <w:r w:rsidRPr="00CD7EC4">
              <w:rPr>
                <w:b w:val="0"/>
                <w:i/>
                <w:lang w:val="it-IT"/>
              </w:rPr>
              <w:t>(đã ký)</w:t>
            </w:r>
          </w:p>
          <w:p w:rsidR="005B10B6" w:rsidRPr="00CE7738" w:rsidRDefault="005B10B6" w:rsidP="00DE4326">
            <w:pPr>
              <w:jc w:val="center"/>
              <w:rPr>
                <w:lang w:val="it-IT"/>
              </w:rPr>
            </w:pPr>
          </w:p>
          <w:p w:rsidR="005B10B6" w:rsidRPr="00CE7738" w:rsidRDefault="005B10B6" w:rsidP="00DE4326">
            <w:pPr>
              <w:jc w:val="center"/>
              <w:rPr>
                <w:lang w:val="it-IT"/>
              </w:rPr>
            </w:pPr>
          </w:p>
          <w:p w:rsidR="005B10B6" w:rsidRPr="00CE7738" w:rsidRDefault="005B10B6" w:rsidP="00DE4326">
            <w:pPr>
              <w:jc w:val="center"/>
              <w:rPr>
                <w:lang w:val="it-IT"/>
              </w:rPr>
            </w:pPr>
          </w:p>
          <w:p w:rsidR="005B10B6" w:rsidRPr="00CE7738" w:rsidRDefault="005B10B6" w:rsidP="00DE4326">
            <w:pPr>
              <w:jc w:val="center"/>
            </w:pPr>
            <w:r w:rsidRPr="00CE7738">
              <w:rPr>
                <w:spacing w:val="-6"/>
              </w:rPr>
              <w:t>Hồ Đức Phớc</w:t>
            </w:r>
            <w:r w:rsidRPr="00CE7738">
              <w:t xml:space="preserve"> </w:t>
            </w:r>
          </w:p>
          <w:p w:rsidR="005B10B6" w:rsidRPr="00CE7738" w:rsidRDefault="005B10B6" w:rsidP="00DE4326">
            <w:pPr>
              <w:jc w:val="center"/>
            </w:pPr>
          </w:p>
        </w:tc>
      </w:tr>
    </w:tbl>
    <w:p w:rsidR="005B10B6" w:rsidRPr="00CE7738" w:rsidRDefault="005B10B6" w:rsidP="005B10B6">
      <w:pPr>
        <w:tabs>
          <w:tab w:val="left" w:pos="1755"/>
        </w:tabs>
      </w:pPr>
      <w:r w:rsidRPr="00CE7738">
        <w:tab/>
      </w:r>
    </w:p>
    <w:p w:rsidR="00B74593" w:rsidRDefault="00B74593">
      <w:bookmarkStart w:id="0" w:name="_GoBack"/>
      <w:bookmarkEnd w:id="0"/>
    </w:p>
    <w:sectPr w:rsidR="00B74593" w:rsidSect="00632353">
      <w:pgSz w:w="11907" w:h="16840" w:code="9"/>
      <w:pgMar w:top="1134" w:right="851" w:bottom="56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B6"/>
    <w:rsid w:val="005B10B6"/>
    <w:rsid w:val="00B7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69E54-84A6-4F3C-A44C-40F60AC0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B6"/>
    <w:pPr>
      <w:spacing w:after="0" w:line="240" w:lineRule="auto"/>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B4BE5-B595-4AB6-8727-AD71AAD0DE07}"/>
</file>

<file path=customXml/itemProps2.xml><?xml version="1.0" encoding="utf-8"?>
<ds:datastoreItem xmlns:ds="http://schemas.openxmlformats.org/officeDocument/2006/customXml" ds:itemID="{0088DCFC-19CF-438C-95B7-276D1D2D4A3E}"/>
</file>

<file path=customXml/itemProps3.xml><?xml version="1.0" encoding="utf-8"?>
<ds:datastoreItem xmlns:ds="http://schemas.openxmlformats.org/officeDocument/2006/customXml" ds:itemID="{DA0CFB43-398F-4366-8692-029991A0CB04}"/>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MrsHa-TTTT</dc:creator>
  <cp:keywords/>
  <dc:description/>
  <cp:lastModifiedBy>MrsHa-TTTT</cp:lastModifiedBy>
  <cp:revision>1</cp:revision>
  <dcterms:created xsi:type="dcterms:W3CDTF">2020-12-17T04:12:00Z</dcterms:created>
  <dcterms:modified xsi:type="dcterms:W3CDTF">2020-12-17T04:12:00Z</dcterms:modified>
</cp:coreProperties>
</file>